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F2D3" w14:textId="77777777" w:rsidR="001E03B0" w:rsidRDefault="005A354F" w:rsidP="001E03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13E51" wp14:editId="42B0A98E">
                <wp:simplePos x="0" y="0"/>
                <wp:positionH relativeFrom="column">
                  <wp:posOffset>2062480</wp:posOffset>
                </wp:positionH>
                <wp:positionV relativeFrom="paragraph">
                  <wp:posOffset>288925</wp:posOffset>
                </wp:positionV>
                <wp:extent cx="1208405" cy="1009650"/>
                <wp:effectExtent l="0" t="0" r="1079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8FE4E8" w14:textId="77777777" w:rsidR="001E03B0" w:rsidRDefault="001E03B0" w:rsidP="001E03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7512BA" wp14:editId="3D5C1002">
                                  <wp:extent cx="866775" cy="9048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13E51" id="Rectangle 3" o:spid="_x0000_s1026" style="position:absolute;margin-left:162.4pt;margin-top:22.75pt;width:95.1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" filled="f" strokecolor="#4472c4" strokeweight="1pt">
                <v:path arrowok="t"/>
                <v:textbox>
                  <w:txbxContent>
                    <w:p w14:paraId="058FE4E8" w14:textId="77777777" w:rsidR="001E03B0" w:rsidRDefault="001E03B0" w:rsidP="001E03B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7512BA" wp14:editId="3D5C1002">
                            <wp:extent cx="866775" cy="9048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C4D45D6" w14:textId="77777777" w:rsidR="001E03B0" w:rsidRDefault="001E03B0" w:rsidP="001E03B0">
      <w:pPr>
        <w:spacing w:after="0" w:line="240" w:lineRule="auto"/>
        <w:jc w:val="both"/>
        <w:rPr>
          <w:lang w:val="sr-Latn-ME"/>
        </w:rPr>
      </w:pPr>
      <w:r>
        <w:rPr>
          <w:b/>
          <w:lang w:val="sr-Latn-ME"/>
        </w:rPr>
        <w:t xml:space="preserve">C R N A  G O R A </w:t>
      </w:r>
      <w:r>
        <w:rPr>
          <w:lang w:val="sr-Latn-ME"/>
        </w:rPr>
        <w:t xml:space="preserve">                                                                                    </w:t>
      </w:r>
      <w:r>
        <w:rPr>
          <w:b/>
          <w:lang w:val="sr-Latn-ME"/>
        </w:rPr>
        <w:t>A d r e s a :</w:t>
      </w:r>
      <w:r>
        <w:rPr>
          <w:lang w:val="sr-Latn-ME"/>
        </w:rPr>
        <w:t xml:space="preserve">  Čaršijska b</w:t>
      </w:r>
      <w:r w:rsidR="002901E9">
        <w:rPr>
          <w:lang w:val="sr-Latn-ME"/>
        </w:rPr>
        <w:t>r. 28</w:t>
      </w:r>
    </w:p>
    <w:p w14:paraId="3B7D0D5E" w14:textId="77777777" w:rsidR="001E03B0" w:rsidRDefault="001E03B0" w:rsidP="001E03B0">
      <w:pPr>
        <w:spacing w:after="0" w:line="240" w:lineRule="auto"/>
        <w:jc w:val="both"/>
        <w:rPr>
          <w:lang w:val="sr-Latn-ME"/>
        </w:rPr>
      </w:pPr>
      <w:r>
        <w:rPr>
          <w:b/>
          <w:lang w:val="sr-Latn-ME"/>
        </w:rPr>
        <w:t xml:space="preserve">OPŠTINA GUSINJE                                                                                  </w:t>
      </w:r>
      <w:r>
        <w:rPr>
          <w:lang w:val="sr-Latn-ME"/>
        </w:rPr>
        <w:t>84326 Gusinje, Crna Gora</w:t>
      </w:r>
    </w:p>
    <w:p w14:paraId="477694E8" w14:textId="77777777" w:rsidR="005A354F" w:rsidRDefault="001E03B0" w:rsidP="005A354F">
      <w:pPr>
        <w:spacing w:after="0" w:line="240" w:lineRule="auto"/>
        <w:jc w:val="both"/>
        <w:rPr>
          <w:b/>
          <w:lang w:val="sr-Latn-ME"/>
        </w:rPr>
      </w:pPr>
      <w:r>
        <w:rPr>
          <w:b/>
          <w:lang w:val="sr-Latn-ME"/>
        </w:rPr>
        <w:t xml:space="preserve">Sekretarijat </w:t>
      </w:r>
      <w:r w:rsidR="005A354F">
        <w:rPr>
          <w:b/>
          <w:lang w:val="sr-Latn-ME"/>
        </w:rPr>
        <w:t>za opštu upravu i</w:t>
      </w:r>
    </w:p>
    <w:p w14:paraId="2B3B663E" w14:textId="77777777" w:rsidR="001E03B0" w:rsidRDefault="005A354F" w:rsidP="005A354F">
      <w:pPr>
        <w:spacing w:after="0" w:line="240" w:lineRule="auto"/>
        <w:jc w:val="both"/>
        <w:rPr>
          <w:b/>
          <w:lang w:val="sr-Latn-ME"/>
        </w:rPr>
      </w:pPr>
      <w:r>
        <w:rPr>
          <w:b/>
          <w:lang w:val="sr-Latn-ME"/>
        </w:rPr>
        <w:t xml:space="preserve"> društvene djelatnosti</w:t>
      </w:r>
    </w:p>
    <w:p w14:paraId="20CE29D3" w14:textId="77777777" w:rsidR="001E03B0" w:rsidRDefault="001E03B0" w:rsidP="001E03B0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>Broj: 0</w:t>
      </w:r>
      <w:r w:rsidR="005A354F">
        <w:rPr>
          <w:lang w:val="sr-Latn-ME"/>
        </w:rPr>
        <w:t>2</w:t>
      </w:r>
      <w:r>
        <w:rPr>
          <w:lang w:val="sr-Latn-ME"/>
        </w:rPr>
        <w:t xml:space="preserve"> –                                                                                       E-mail: </w:t>
      </w:r>
      <w:r w:rsidR="005A354F">
        <w:rPr>
          <w:sz w:val="24"/>
          <w:szCs w:val="24"/>
          <w:lang w:val="sr-Latn-ME"/>
        </w:rPr>
        <w:t>opstauprava@opstinagusinje.me</w:t>
      </w:r>
      <w:r>
        <w:rPr>
          <w:lang w:val="sr-Latn-ME"/>
        </w:rPr>
        <w:t xml:space="preserve"> </w:t>
      </w:r>
    </w:p>
    <w:p w14:paraId="20273A34" w14:textId="77777777" w:rsidR="001E03B0" w:rsidRDefault="00281B48" w:rsidP="001E03B0">
      <w:pPr>
        <w:spacing w:after="200" w:line="276" w:lineRule="auto"/>
      </w:pPr>
      <w:r>
        <w:t xml:space="preserve">Gusinje, </w:t>
      </w:r>
      <w:r w:rsidR="002901E9">
        <w:t>04.03.</w:t>
      </w:r>
      <w:r w:rsidR="001E03B0">
        <w:t>20</w:t>
      </w:r>
      <w:r w:rsidR="005A354F">
        <w:t>21</w:t>
      </w:r>
      <w:r w:rsidR="001E03B0">
        <w:t xml:space="preserve">.god.                                                          Web portal:   </w:t>
      </w:r>
      <w:hyperlink r:id="rId9" w:history="1">
        <w:r w:rsidR="005A354F" w:rsidRPr="00C1379B">
          <w:rPr>
            <w:rStyle w:val="Hyperlink"/>
            <w:sz w:val="24"/>
            <w:szCs w:val="24"/>
          </w:rPr>
          <w:t>www.opstinagusinje.me</w:t>
        </w:r>
      </w:hyperlink>
    </w:p>
    <w:p w14:paraId="1BF0995C" w14:textId="77777777" w:rsidR="007D4846" w:rsidRDefault="007D4846" w:rsidP="0088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7838284C" w14:textId="77777777" w:rsidR="0035439F" w:rsidRDefault="0035439F" w:rsidP="00EB3D6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1D6EEF8F" w14:textId="77777777" w:rsidR="0035439F" w:rsidRDefault="0035439F" w:rsidP="0035439F">
      <w:pPr>
        <w:spacing w:line="240" w:lineRule="auto"/>
        <w:contextualSpacing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Theme="minorEastAsia" w:hAnsi="Garamond"/>
          <w:sz w:val="24"/>
          <w:szCs w:val="24"/>
          <w:lang w:val="sr-Latn-RS"/>
        </w:rPr>
        <w:tab/>
      </w:r>
      <w:r w:rsidRPr="00062438">
        <w:rPr>
          <w:rFonts w:ascii="Garamond" w:eastAsiaTheme="minorEastAsia" w:hAnsi="Garamond"/>
          <w:sz w:val="28"/>
          <w:szCs w:val="28"/>
          <w:lang w:val="sr-Latn-RS"/>
        </w:rPr>
        <w:t xml:space="preserve">Na osnovu člana 11 Zakona o slobodnom pristupu informacijama </w:t>
      </w:r>
      <w:r w:rsidRPr="00062438">
        <w:rPr>
          <w:rFonts w:ascii="Garamond" w:hAnsi="Garamond" w:cs="Calibri"/>
          <w:sz w:val="28"/>
          <w:szCs w:val="28"/>
          <w:lang w:val="sr-Latn-RS"/>
        </w:rPr>
        <w:t>("Službeni list Crne Gore", br. 044/12 od 09.08.2012, 030/17)</w:t>
      </w:r>
      <w:r w:rsidRPr="00062438">
        <w:rPr>
          <w:rFonts w:ascii="Garamond" w:eastAsia="Calibri" w:hAnsi="Garamond" w:cs="Calibri"/>
          <w:sz w:val="28"/>
          <w:szCs w:val="28"/>
          <w:lang w:val="sr-Latn-RS"/>
        </w:rPr>
        <w:t>, Sekretarijat za opštu upravu i društvene djelatnosti, donosi</w:t>
      </w:r>
    </w:p>
    <w:p w14:paraId="43E915D8" w14:textId="77777777" w:rsidR="0035439F" w:rsidRDefault="0035439F" w:rsidP="0035439F">
      <w:pPr>
        <w:spacing w:line="240" w:lineRule="auto"/>
        <w:contextualSpacing/>
        <w:jc w:val="both"/>
        <w:rPr>
          <w:rFonts w:ascii="Garamond" w:eastAsia="Calibri" w:hAnsi="Garamond" w:cs="Calibri"/>
          <w:sz w:val="28"/>
          <w:szCs w:val="28"/>
          <w:lang w:val="sr-Latn-RS"/>
        </w:rPr>
      </w:pPr>
    </w:p>
    <w:p w14:paraId="5FF7D197" w14:textId="4B28FCF3" w:rsidR="0035439F" w:rsidRPr="00E5796A" w:rsidRDefault="0035439F" w:rsidP="0035439F">
      <w:pPr>
        <w:spacing w:line="240" w:lineRule="auto"/>
        <w:contextualSpacing/>
        <w:jc w:val="center"/>
        <w:rPr>
          <w:rFonts w:ascii="Garamond" w:eastAsia="Calibri" w:hAnsi="Garamond" w:cs="Calibri"/>
          <w:sz w:val="28"/>
          <w:szCs w:val="28"/>
          <w:lang w:val="sr-Latn-ME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VODI</w:t>
      </w:r>
      <w:r w:rsidR="00E5796A">
        <w:rPr>
          <w:rFonts w:ascii="Garamond" w:eastAsia="Calibri" w:hAnsi="Garamond" w:cs="Calibri"/>
          <w:sz w:val="28"/>
          <w:szCs w:val="28"/>
          <w:lang w:val="sr-Latn-ME"/>
        </w:rPr>
        <w:t>Č</w:t>
      </w:r>
    </w:p>
    <w:p w14:paraId="41306AB1" w14:textId="77777777" w:rsidR="0035439F" w:rsidRDefault="0035439F" w:rsidP="0035439F">
      <w:pPr>
        <w:spacing w:line="240" w:lineRule="auto"/>
        <w:contextualSpacing/>
        <w:jc w:val="center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 xml:space="preserve">za pristup informacijama u posjedu </w:t>
      </w:r>
    </w:p>
    <w:p w14:paraId="7979E429" w14:textId="77777777" w:rsidR="0035439F" w:rsidRDefault="0035439F" w:rsidP="0035439F">
      <w:pPr>
        <w:spacing w:line="240" w:lineRule="auto"/>
        <w:contextualSpacing/>
        <w:jc w:val="center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Sekretarijata za opštu upravu i društvene djelatnosti</w:t>
      </w:r>
    </w:p>
    <w:p w14:paraId="5432ED42" w14:textId="77777777" w:rsidR="0035439F" w:rsidRDefault="0035439F" w:rsidP="0035439F">
      <w:pPr>
        <w:spacing w:line="240" w:lineRule="auto"/>
        <w:contextualSpacing/>
        <w:jc w:val="center"/>
        <w:rPr>
          <w:rFonts w:ascii="Garamond" w:eastAsia="Calibri" w:hAnsi="Garamond" w:cs="Calibri"/>
          <w:sz w:val="28"/>
          <w:szCs w:val="28"/>
          <w:lang w:val="sr-Latn-RS"/>
        </w:rPr>
      </w:pPr>
    </w:p>
    <w:p w14:paraId="40C4DA43" w14:textId="77777777" w:rsidR="0035439F" w:rsidRDefault="0035439F" w:rsidP="0035439F">
      <w:pPr>
        <w:spacing w:line="240" w:lineRule="auto"/>
        <w:contextualSpacing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ab/>
      </w:r>
      <w:r w:rsidRPr="003A4516">
        <w:rPr>
          <w:rFonts w:ascii="Garamond" w:eastAsia="Calibri" w:hAnsi="Garamond" w:cs="Calibri"/>
          <w:b/>
          <w:sz w:val="28"/>
          <w:szCs w:val="28"/>
          <w:lang w:val="sr-Latn-RS"/>
        </w:rPr>
        <w:t>Osnovni podaci</w:t>
      </w:r>
      <w:r>
        <w:rPr>
          <w:rFonts w:ascii="Garamond" w:eastAsia="Calibri" w:hAnsi="Garamond" w:cs="Calibri"/>
          <w:sz w:val="28"/>
          <w:szCs w:val="28"/>
          <w:lang w:val="sr-Latn-RS"/>
        </w:rPr>
        <w:t>:</w:t>
      </w:r>
    </w:p>
    <w:p w14:paraId="5AF61BA6" w14:textId="77777777" w:rsidR="0035439F" w:rsidRDefault="0035439F" w:rsidP="0035439F">
      <w:pPr>
        <w:spacing w:line="240" w:lineRule="auto"/>
        <w:contextualSpacing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Naziv organa:      Sekretarijat za opštu upravu i društvene djelatnosti</w:t>
      </w:r>
    </w:p>
    <w:p w14:paraId="2E8F8AF2" w14:textId="77777777" w:rsidR="0035439F" w:rsidRDefault="0035439F" w:rsidP="0035439F">
      <w:pPr>
        <w:spacing w:line="240" w:lineRule="auto"/>
        <w:contextualSpacing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Sjedište i adresa:   Gusinje, Čaršijska 28</w:t>
      </w:r>
    </w:p>
    <w:p w14:paraId="53D21F02" w14:textId="77777777" w:rsidR="0035439F" w:rsidRDefault="0035439F" w:rsidP="0035439F">
      <w:pPr>
        <w:spacing w:line="240" w:lineRule="auto"/>
        <w:contextualSpacing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Tel:                      069  721  714</w:t>
      </w:r>
    </w:p>
    <w:p w14:paraId="3EFC794D" w14:textId="77777777" w:rsidR="0035439F" w:rsidRDefault="0035439F" w:rsidP="0035439F">
      <w:pPr>
        <w:spacing w:line="240" w:lineRule="auto"/>
        <w:contextualSpacing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 xml:space="preserve">e-mail: </w:t>
      </w:r>
      <w:r>
        <w:rPr>
          <w:rFonts w:ascii="Garamond" w:eastAsia="Calibri" w:hAnsi="Garamond" w:cs="Calibri"/>
          <w:sz w:val="28"/>
          <w:szCs w:val="28"/>
          <w:lang w:val="sr-Latn-RS"/>
        </w:rPr>
        <w:tab/>
        <w:t xml:space="preserve">      </w:t>
      </w:r>
      <w:r w:rsidRPr="00E5796A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  <w:lang w:val="fr-FR"/>
        </w:rPr>
        <w:t>opstauprava@opstinagusinje.me</w:t>
      </w:r>
    </w:p>
    <w:p w14:paraId="76C65630" w14:textId="77777777" w:rsidR="0035439F" w:rsidRDefault="0035439F" w:rsidP="0035439F">
      <w:pPr>
        <w:spacing w:line="240" w:lineRule="auto"/>
        <w:contextualSpacing/>
        <w:rPr>
          <w:rFonts w:ascii="Garamond" w:eastAsia="Calibri" w:hAnsi="Garamond" w:cs="Calibri"/>
          <w:sz w:val="28"/>
          <w:szCs w:val="28"/>
          <w:lang w:val="sr-Latn-RS"/>
        </w:rPr>
      </w:pPr>
    </w:p>
    <w:p w14:paraId="31E559C3" w14:textId="77777777" w:rsidR="0035439F" w:rsidRDefault="0035439F" w:rsidP="0035439F">
      <w:pPr>
        <w:spacing w:line="240" w:lineRule="auto"/>
        <w:contextualSpacing/>
        <w:jc w:val="both"/>
        <w:rPr>
          <w:rFonts w:ascii="Garamond" w:eastAsia="Calibri" w:hAnsi="Garamond" w:cs="Calibri"/>
          <w:b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ab/>
        <w:t xml:space="preserve"> I </w:t>
      </w:r>
      <w:r w:rsidRPr="00B006BE">
        <w:rPr>
          <w:rFonts w:ascii="Garamond" w:eastAsia="Calibri" w:hAnsi="Garamond" w:cs="Calibri"/>
          <w:b/>
          <w:sz w:val="28"/>
          <w:szCs w:val="28"/>
          <w:lang w:val="sr-Latn-RS"/>
        </w:rPr>
        <w:t>Vrste informacija u posjedu Sekretarijata za opštu upravu i društvene djelatnosti</w:t>
      </w:r>
      <w:r>
        <w:rPr>
          <w:rFonts w:ascii="Garamond" w:eastAsia="Calibri" w:hAnsi="Garamond" w:cs="Calibri"/>
          <w:b/>
          <w:sz w:val="28"/>
          <w:szCs w:val="28"/>
          <w:lang w:val="sr-Latn-RS"/>
        </w:rPr>
        <w:t xml:space="preserve">: </w:t>
      </w:r>
    </w:p>
    <w:p w14:paraId="46B15E17" w14:textId="77777777" w:rsidR="0035439F" w:rsidRDefault="0035439F" w:rsidP="0035439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Javne evidencije i registri:</w:t>
      </w:r>
    </w:p>
    <w:p w14:paraId="1D736070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Djelovodnik</w:t>
      </w:r>
    </w:p>
    <w:p w14:paraId="6E47787C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Posebni djelovodnik – knjiga računa</w:t>
      </w:r>
    </w:p>
    <w:p w14:paraId="46E6180B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Upisnik prvostepenog postupka po službenoj dužnosti</w:t>
      </w:r>
    </w:p>
    <w:p w14:paraId="04354686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Upisnik prvostepenog postupka po zahtjevima stranaka</w:t>
      </w:r>
    </w:p>
    <w:p w14:paraId="0ADF4512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Upisnik uvjerenja</w:t>
      </w:r>
    </w:p>
    <w:p w14:paraId="32697478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Registar izdatih radnih knjižica</w:t>
      </w:r>
    </w:p>
    <w:p w14:paraId="12A5EA86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Registar ugovora o privremenim i povremenim poslovima</w:t>
      </w:r>
    </w:p>
    <w:p w14:paraId="0222E2BC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Registar podijetih zahtjeva za jednokratnu novčanu pomoć</w:t>
      </w:r>
    </w:p>
    <w:p w14:paraId="0F6107CA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Evidencija o vojnim i civilnim invalidima rata</w:t>
      </w:r>
    </w:p>
    <w:p w14:paraId="18747A6C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 xml:space="preserve">Evidencije o ostalim korisnicima prava </w:t>
      </w:r>
    </w:p>
    <w:p w14:paraId="478947E4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Registar o usmjerenoj djeci sa posebnim obrazovnim potrebama</w:t>
      </w:r>
    </w:p>
    <w:p w14:paraId="7897DAAE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Matične knjige vjenčanih na području Opštine Gusinje</w:t>
      </w:r>
    </w:p>
    <w:p w14:paraId="74AD31C7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Registar mjesnih zajednica</w:t>
      </w:r>
    </w:p>
    <w:p w14:paraId="335BA724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lastRenderedPageBreak/>
        <w:t>Registar spomen- obilježja</w:t>
      </w:r>
    </w:p>
    <w:p w14:paraId="5E27CFB1" w14:textId="77777777" w:rsidR="0035439F" w:rsidRDefault="0035439F" w:rsidP="0035439F">
      <w:pPr>
        <w:pStyle w:val="ListParagraph"/>
        <w:spacing w:line="240" w:lineRule="auto"/>
        <w:ind w:left="1080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</w:p>
    <w:p w14:paraId="38579B4F" w14:textId="77777777" w:rsidR="0035439F" w:rsidRDefault="0035439F" w:rsidP="0035439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Druge evidencije i registri:</w:t>
      </w:r>
    </w:p>
    <w:p w14:paraId="13EDEFA8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Registar ovjerenih dokumenata (izjava, prepisa, potpisa i rukopisa)</w:t>
      </w:r>
    </w:p>
    <w:p w14:paraId="2A0FBE39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Evidencija lica ovlašćenih za čuvanje i upotrebu pečata i štambilja</w:t>
      </w:r>
    </w:p>
    <w:p w14:paraId="39016168" w14:textId="77777777" w:rsidR="0035439F" w:rsidRDefault="0035439F" w:rsidP="0035439F">
      <w:pPr>
        <w:pStyle w:val="ListParagraph"/>
        <w:spacing w:line="240" w:lineRule="auto"/>
        <w:ind w:left="1080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</w:p>
    <w:p w14:paraId="05029E50" w14:textId="77777777" w:rsidR="0035439F" w:rsidRDefault="0035439F" w:rsidP="0035439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Programi, informacije i drugi akti:</w:t>
      </w:r>
    </w:p>
    <w:p w14:paraId="50801A22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Program rada i godišnji izvještaj o radu Sekretarijata</w:t>
      </w:r>
    </w:p>
    <w:p w14:paraId="5D777798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 xml:space="preserve">Pravilnik o unutrašnjoj organizaciji i sistematizaciji radnih mjesta </w:t>
      </w:r>
    </w:p>
    <w:p w14:paraId="4B33FBFA" w14:textId="77777777" w:rsidR="0035439F" w:rsidRPr="006354D3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 xml:space="preserve">Mišljenje na pravilnik o unutrašnjoj organizaciji i sistematizaciji radnih mjesta </w:t>
      </w:r>
    </w:p>
    <w:p w14:paraId="24568608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Planovi i programi iz nadležnosti Sekretarijata</w:t>
      </w:r>
    </w:p>
    <w:p w14:paraId="26609D13" w14:textId="77777777" w:rsidR="0035439F" w:rsidRPr="006354D3" w:rsidRDefault="0035439F" w:rsidP="0035439F">
      <w:pPr>
        <w:pStyle w:val="ListParagraph"/>
        <w:spacing w:line="240" w:lineRule="auto"/>
        <w:ind w:left="1080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</w:p>
    <w:p w14:paraId="6376B645" w14:textId="77777777" w:rsidR="0035439F" w:rsidRDefault="0035439F" w:rsidP="0035439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Pojedinačni akti:</w:t>
      </w:r>
    </w:p>
    <w:p w14:paraId="5C3B6322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Predmeti u vezi sa zaključenjem braka</w:t>
      </w:r>
    </w:p>
    <w:p w14:paraId="6D570908" w14:textId="77777777" w:rsidR="0035439F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Rješenja i odluke koje se odnose na prava, obaveze i odgovornost službenika Sekretarijata iz oblasti rada</w:t>
      </w:r>
    </w:p>
    <w:p w14:paraId="3F027782" w14:textId="77777777" w:rsidR="0035439F" w:rsidRPr="00026E3C" w:rsidRDefault="0035439F" w:rsidP="0035439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Calibri" w:hAnsi="Garamond" w:cs="Calibri"/>
          <w:sz w:val="28"/>
          <w:szCs w:val="28"/>
          <w:lang w:val="sr-Latn-RS"/>
        </w:rPr>
      </w:pPr>
      <w:r>
        <w:rPr>
          <w:rFonts w:ascii="Garamond" w:eastAsia="Calibri" w:hAnsi="Garamond" w:cs="Calibri"/>
          <w:sz w:val="28"/>
          <w:szCs w:val="28"/>
          <w:lang w:val="sr-Latn-RS"/>
        </w:rPr>
        <w:t>Ostala rješenja i odluke</w:t>
      </w:r>
    </w:p>
    <w:p w14:paraId="5CAF9CF4" w14:textId="77777777" w:rsidR="0035439F" w:rsidRDefault="0035439F" w:rsidP="0035439F">
      <w:pPr>
        <w:spacing w:line="240" w:lineRule="auto"/>
        <w:ind w:left="720"/>
        <w:jc w:val="both"/>
        <w:rPr>
          <w:rFonts w:ascii="Garamond" w:eastAsia="Calibri" w:hAnsi="Garamond" w:cs="Calibri"/>
          <w:b/>
          <w:sz w:val="28"/>
          <w:szCs w:val="28"/>
          <w:lang w:val="sr-Latn-RS"/>
        </w:rPr>
      </w:pPr>
      <w:r w:rsidRPr="006354D3">
        <w:rPr>
          <w:rFonts w:ascii="Garamond" w:eastAsia="Calibri" w:hAnsi="Garamond" w:cs="Calibri"/>
          <w:b/>
          <w:sz w:val="28"/>
          <w:szCs w:val="28"/>
          <w:lang w:val="sr-Latn-RS"/>
        </w:rPr>
        <w:t>II Ograničenje pristupu informacijama</w:t>
      </w:r>
    </w:p>
    <w:p w14:paraId="5825179A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>Organ vlasti može ograničiti pristup informaciji ili dijelu informacije, ako je to u interesu:</w:t>
      </w:r>
    </w:p>
    <w:p w14:paraId="22075C6B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0F7136D0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1) zaštite privatnosti od objelodanjivanja podataka predviđenih zakonom kojim se uređuje zaštita podataka o ličnosti, osim podataka koji se odnose na:</w:t>
      </w:r>
    </w:p>
    <w:p w14:paraId="0550770C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   - javne funkcionere u vezi sa vršenjem javne funkcije, kao i prihode, imovinu i sukob interesa tih lica i njihovih srodnika koji su obuhvaćeni zakonom kojim se uređuje sprječavanje sukoba interesa,</w:t>
      </w:r>
    </w:p>
    <w:p w14:paraId="7AF3C4A6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   - sredstva dodijeljena iz javnih prihoda, osim za socijalna primanja, zdravstvenu zaštitu i zaštitu od nezaposlenosti;</w:t>
      </w:r>
    </w:p>
    <w:p w14:paraId="74CC0478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51D46CA6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2) bezbjednosti, odbrane, spoljnje, monetarne i ekonomske politike Crne Gore, u skladu sa propisima kojima se uređuje tajnost podataka, označeni stepenom tajnosti;</w:t>
      </w:r>
    </w:p>
    <w:p w14:paraId="5D58FC49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39D37082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3) prevencije istrage i gonjenja izvršilaca krivičnih djela, radi zaštite od objelodanjivanja podataka koji se odnose na:</w:t>
      </w:r>
    </w:p>
    <w:p w14:paraId="7F900BF5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   - sprječavanje izvršenja krivičnog djela,</w:t>
      </w:r>
    </w:p>
    <w:p w14:paraId="5427A2F3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   - prijavljivanje krivičnog djela i njegovog izvršioca,</w:t>
      </w:r>
    </w:p>
    <w:p w14:paraId="0FA32251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   - sadržinu preduzetih radnji u pretkrivičnom i krivičnom postupku,</w:t>
      </w:r>
    </w:p>
    <w:p w14:paraId="00682F55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   - dokaze prikupljene izviđajem i istragom,</w:t>
      </w:r>
    </w:p>
    <w:p w14:paraId="37EC824E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   - mjere tajnog nadzora,</w:t>
      </w:r>
    </w:p>
    <w:p w14:paraId="074FCD8C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   - zaštićenog svjedoka i svjedoka saradnika,</w:t>
      </w:r>
    </w:p>
    <w:p w14:paraId="1B8D223E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lastRenderedPageBreak/>
        <w:t xml:space="preserve">      - efikasnost vođenja postupka;</w:t>
      </w:r>
    </w:p>
    <w:p w14:paraId="106768B6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6A28CCD4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4) vršenja službene dužnosti, radi zaštite od objelodanjivanja podataka koji se odnose na:</w:t>
      </w:r>
    </w:p>
    <w:p w14:paraId="3A46E27E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   - planiranja inspekcijske kontrole i nadzora od strane organa vlasti,</w:t>
      </w:r>
    </w:p>
    <w:p w14:paraId="4C6BD0D1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   - konsultacije unutar i između organa vlasti u vezi sa utvrđivanjem stavova, radi izrade službenih dokumenata i predlaganja rješenja nekog predmeta,</w:t>
      </w:r>
    </w:p>
    <w:p w14:paraId="5F36C1FB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   - rad i odlučivanje kolegijalnih organa,</w:t>
      </w:r>
    </w:p>
    <w:p w14:paraId="52BCB524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   - pokretanje i vođenja disciplinskog postupka;</w:t>
      </w:r>
    </w:p>
    <w:p w14:paraId="2C7E02B1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793A0741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5) zaštite trgovinskih i drugih ekonomskih interesa od objavljivanja podataka koji se odnose na zaštitu konkurencije kao i na poslovnu tajnu u vezi sa pravom intelektualne svojine;</w:t>
      </w:r>
    </w:p>
    <w:p w14:paraId="42354957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114B6AD8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 xml:space="preserve">   6) Ako je informacija poslovna ili poreska tajna u skladu sa zakon</w:t>
      </w:r>
      <w:r>
        <w:rPr>
          <w:rFonts w:ascii="Garamond" w:hAnsi="Garamond" w:cs="Calibri"/>
          <w:sz w:val="28"/>
          <w:szCs w:val="28"/>
          <w:lang w:val="sr-Latn-RS"/>
        </w:rPr>
        <w:t>om.</w:t>
      </w:r>
    </w:p>
    <w:p w14:paraId="154EAAF3" w14:textId="77777777" w:rsidR="0035439F" w:rsidRPr="00026E3C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0600F4E3" w14:textId="77777777" w:rsidR="0035439F" w:rsidRPr="006354D3" w:rsidRDefault="0035439F" w:rsidP="0035439F">
      <w:pPr>
        <w:spacing w:line="240" w:lineRule="auto"/>
        <w:ind w:left="720"/>
        <w:jc w:val="both"/>
        <w:rPr>
          <w:rFonts w:ascii="Garamond" w:eastAsia="Calibri" w:hAnsi="Garamond" w:cs="Calibri"/>
          <w:b/>
          <w:sz w:val="28"/>
          <w:szCs w:val="28"/>
          <w:lang w:val="sr-Latn-RS"/>
        </w:rPr>
      </w:pPr>
      <w:r w:rsidRPr="006354D3">
        <w:rPr>
          <w:rFonts w:ascii="Garamond" w:eastAsia="Calibri" w:hAnsi="Garamond" w:cs="Calibri"/>
          <w:b/>
          <w:sz w:val="28"/>
          <w:szCs w:val="28"/>
          <w:lang w:val="sr-Latn-RS"/>
        </w:rPr>
        <w:t>III Postupak za pristup informacijama</w:t>
      </w:r>
    </w:p>
    <w:p w14:paraId="6DBF5C50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>Postupak za pristup informaciji pokreće se na pisani ili usmeni zahtjev lica koje traži pristup informaciji.</w:t>
      </w:r>
    </w:p>
    <w:p w14:paraId="61455D93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>Jednim zahtjevom može se tražiti pristup više informacija.</w:t>
      </w:r>
    </w:p>
    <w:p w14:paraId="3D23BBA0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>Pisani zahtjev za pristup informaciji podnosi se organu vlasti neposredno, putem pošte ili elektron</w:t>
      </w:r>
      <w:r>
        <w:rPr>
          <w:rFonts w:ascii="Garamond" w:hAnsi="Garamond" w:cs="Calibri"/>
          <w:sz w:val="28"/>
          <w:szCs w:val="28"/>
          <w:lang w:val="sr-Latn-RS"/>
        </w:rPr>
        <w:t>skim putem (faks, e-mail i dr.), na adresu Sekretarijata.</w:t>
      </w:r>
    </w:p>
    <w:p w14:paraId="1EE1C032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6354D3">
        <w:rPr>
          <w:rFonts w:ascii="Garamond" w:hAnsi="Garamond" w:cs="Calibri"/>
          <w:sz w:val="28"/>
          <w:szCs w:val="28"/>
          <w:lang w:val="sr-Latn-RS"/>
        </w:rPr>
        <w:t>Usmeni zahtjev za pristup informaciji podnosi se organu vlasti neposredno na zapisnik, a organ vlasti je dužan da taj zahtjev primi bez odlaganja.</w:t>
      </w:r>
    </w:p>
    <w:p w14:paraId="5596F430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1B22ADDB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b/>
          <w:sz w:val="28"/>
          <w:szCs w:val="28"/>
          <w:lang w:val="sr-Latn-RS"/>
        </w:rPr>
      </w:pPr>
      <w:r w:rsidRPr="006354D3">
        <w:rPr>
          <w:rFonts w:ascii="Garamond" w:hAnsi="Garamond" w:cs="Calibri"/>
          <w:b/>
          <w:sz w:val="28"/>
          <w:szCs w:val="28"/>
          <w:lang w:val="sr-Latn-RS"/>
        </w:rPr>
        <w:t>IV Način pristupa informacijama licima sa invaliditetom</w:t>
      </w:r>
    </w:p>
    <w:p w14:paraId="1C746AED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3936BAB3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Licu sa invaliditetom omogućava se pristup informaciji na način i u obliku koji odgovara njegovoj mogućnosti i potrebi.</w:t>
      </w:r>
    </w:p>
    <w:p w14:paraId="03A52C23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729AFCA6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b/>
          <w:sz w:val="28"/>
          <w:szCs w:val="28"/>
          <w:lang w:val="sr-Latn-RS"/>
        </w:rPr>
      </w:pPr>
      <w:r w:rsidRPr="00497738">
        <w:rPr>
          <w:rFonts w:ascii="Garamond" w:hAnsi="Garamond" w:cs="Calibri"/>
          <w:b/>
          <w:sz w:val="28"/>
          <w:szCs w:val="28"/>
          <w:lang w:val="sr-Latn-RS"/>
        </w:rPr>
        <w:t>V Rješavanje po zahtjevu</w:t>
      </w:r>
    </w:p>
    <w:p w14:paraId="3EDB6683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b/>
          <w:sz w:val="28"/>
          <w:szCs w:val="28"/>
          <w:lang w:val="sr-Latn-RS"/>
        </w:rPr>
      </w:pPr>
    </w:p>
    <w:p w14:paraId="01F89353" w14:textId="77777777" w:rsidR="0035439F" w:rsidRPr="00ED7701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ED7701">
        <w:rPr>
          <w:rFonts w:ascii="Garamond" w:hAnsi="Garamond" w:cs="Calibri"/>
          <w:sz w:val="28"/>
          <w:szCs w:val="28"/>
          <w:lang w:val="sr-Latn-RS"/>
        </w:rPr>
        <w:t xml:space="preserve">O zahtjevu za pristup informaciji ili ponovnu upotrebu informacija, osim u slučaju iz člana 22 </w:t>
      </w:r>
      <w:r>
        <w:rPr>
          <w:rFonts w:ascii="Garamond" w:hAnsi="Garamond" w:cs="Calibri"/>
          <w:sz w:val="28"/>
          <w:szCs w:val="28"/>
          <w:lang w:val="sr-Latn-RS"/>
        </w:rPr>
        <w:t>Zakona o slobodnom pristupu informacijama</w:t>
      </w:r>
      <w:r w:rsidRPr="00ED7701">
        <w:rPr>
          <w:rFonts w:ascii="Garamond" w:hAnsi="Garamond" w:cs="Calibri"/>
          <w:sz w:val="28"/>
          <w:szCs w:val="28"/>
          <w:lang w:val="sr-Latn-RS"/>
        </w:rPr>
        <w:t>, organ vlasti odlučuje rješenjem, kojim dozvoljava pristup traženoj informaciji, odnosno ponovnu upotrebu informacija ili njenom dijelu ili zahtjev odbija.</w:t>
      </w:r>
    </w:p>
    <w:p w14:paraId="38388190" w14:textId="77777777" w:rsidR="0035439F" w:rsidRPr="00ED7701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ED7701">
        <w:rPr>
          <w:rFonts w:ascii="Garamond" w:hAnsi="Garamond" w:cs="Calibri"/>
          <w:sz w:val="28"/>
          <w:szCs w:val="28"/>
          <w:lang w:val="sr-Latn-RS"/>
        </w:rPr>
        <w:t>Rješenjem kojim se dozvoljava pristup informaciji ili njenom dijelu određuje se:</w:t>
      </w:r>
    </w:p>
    <w:p w14:paraId="6ACF43CF" w14:textId="77777777" w:rsidR="0035439F" w:rsidRPr="00ED7701" w:rsidRDefault="0035439F" w:rsidP="0035439F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  <w:r w:rsidRPr="00ED7701">
        <w:rPr>
          <w:rFonts w:ascii="Garamond" w:hAnsi="Garamond" w:cs="Calibri"/>
          <w:sz w:val="28"/>
          <w:szCs w:val="28"/>
          <w:lang w:val="sr-Latn-RS"/>
        </w:rPr>
        <w:t xml:space="preserve">   1) način na koji se dozvoljava pristup informaciji;</w:t>
      </w:r>
    </w:p>
    <w:p w14:paraId="2C694C85" w14:textId="77777777" w:rsidR="0035439F" w:rsidRPr="00ED7701" w:rsidRDefault="0035439F" w:rsidP="0035439F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  <w:r w:rsidRPr="00ED7701">
        <w:rPr>
          <w:rFonts w:ascii="Garamond" w:hAnsi="Garamond" w:cs="Calibri"/>
          <w:sz w:val="28"/>
          <w:szCs w:val="28"/>
          <w:lang w:val="sr-Latn-RS"/>
        </w:rPr>
        <w:t xml:space="preserve">   2) rok za ostvarivanje pristupa;</w:t>
      </w:r>
    </w:p>
    <w:p w14:paraId="5EA94895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  <w:r w:rsidRPr="00ED7701">
        <w:rPr>
          <w:rFonts w:ascii="Garamond" w:hAnsi="Garamond" w:cs="Calibri"/>
          <w:sz w:val="28"/>
          <w:szCs w:val="28"/>
          <w:lang w:val="sr-Latn-RS"/>
        </w:rPr>
        <w:t xml:space="preserve">   3) troškovi postupka.</w:t>
      </w:r>
    </w:p>
    <w:p w14:paraId="1F5253CC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14:paraId="34658084" w14:textId="77777777" w:rsidR="0035439F" w:rsidRPr="00ED7701" w:rsidRDefault="0035439F" w:rsidP="0035439F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ab/>
      </w:r>
      <w:r w:rsidRPr="00ED7701">
        <w:rPr>
          <w:rFonts w:ascii="Garamond" w:hAnsi="Garamond" w:cs="Calibri"/>
          <w:b/>
          <w:sz w:val="28"/>
          <w:szCs w:val="28"/>
          <w:lang w:val="sr-Latn-RS"/>
        </w:rPr>
        <w:t xml:space="preserve">VI </w:t>
      </w:r>
      <w:r>
        <w:rPr>
          <w:rFonts w:ascii="Garamond" w:hAnsi="Garamond" w:cs="Calibri"/>
          <w:b/>
          <w:sz w:val="28"/>
          <w:szCs w:val="28"/>
          <w:lang w:val="sr-Latn-RS"/>
        </w:rPr>
        <w:t>Pravo na žalbu</w:t>
      </w:r>
    </w:p>
    <w:p w14:paraId="350025C4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14:paraId="61B59390" w14:textId="77777777" w:rsidR="0035439F" w:rsidRPr="00ED7701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ab/>
      </w:r>
      <w:r w:rsidRPr="00ED7701">
        <w:rPr>
          <w:rFonts w:ascii="Garamond" w:hAnsi="Garamond" w:cs="Calibri"/>
          <w:sz w:val="28"/>
          <w:szCs w:val="28"/>
          <w:lang w:val="sr-Latn-RS"/>
        </w:rPr>
        <w:t>Protiv akta organa vlasti o zahtjevu za pristup informaciji podnosilac zahtjeva i drugo zainteresovano lice može izjaviti žalbu Agenciji, preko organa vlasti koji je o zahtjevu rješavao u prvom stepenu.</w:t>
      </w:r>
    </w:p>
    <w:p w14:paraId="0DEAE078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ED7701">
        <w:rPr>
          <w:rFonts w:ascii="Garamond" w:hAnsi="Garamond" w:cs="Calibri"/>
          <w:sz w:val="28"/>
          <w:szCs w:val="28"/>
          <w:lang w:val="sr-Latn-RS"/>
        </w:rPr>
        <w:t>Izuzetno protiv rješenja kojim je odbijen zahtjev za pristup informaciji koja sadrži podatke koji su označeni stepenom tajnosti ne može se izjaviti žalba, već se mož</w:t>
      </w:r>
      <w:r>
        <w:rPr>
          <w:rFonts w:ascii="Garamond" w:hAnsi="Garamond" w:cs="Calibri"/>
          <w:sz w:val="28"/>
          <w:szCs w:val="28"/>
          <w:lang w:val="sr-Latn-RS"/>
        </w:rPr>
        <w:t>e tužbom pokrenuti upravni spor, shodnu zakonu.</w:t>
      </w:r>
    </w:p>
    <w:p w14:paraId="06B21751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793528FB" w14:textId="77777777" w:rsidR="0035439F" w:rsidRPr="005A4F21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b/>
          <w:sz w:val="28"/>
          <w:szCs w:val="28"/>
          <w:lang w:val="sr-Latn-RS"/>
        </w:rPr>
      </w:pPr>
      <w:r w:rsidRPr="005A4F21">
        <w:rPr>
          <w:rFonts w:ascii="Garamond" w:hAnsi="Garamond" w:cs="Calibri"/>
          <w:b/>
          <w:sz w:val="28"/>
          <w:szCs w:val="28"/>
          <w:lang w:val="sr-Latn-RS"/>
        </w:rPr>
        <w:t>VII Troškovi postupka</w:t>
      </w:r>
    </w:p>
    <w:p w14:paraId="07722BFC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420E0D55" w14:textId="77777777" w:rsidR="0035439F" w:rsidRPr="005A4F21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5A4F21">
        <w:rPr>
          <w:rFonts w:ascii="Garamond" w:hAnsi="Garamond" w:cs="Calibri"/>
          <w:sz w:val="28"/>
          <w:szCs w:val="28"/>
          <w:lang w:val="sr-Latn-RS"/>
        </w:rPr>
        <w:t xml:space="preserve">Visina naknade troškova određuje se </w:t>
      </w:r>
      <w:r>
        <w:rPr>
          <w:rFonts w:ascii="Garamond" w:hAnsi="Garamond" w:cs="Calibri"/>
          <w:sz w:val="28"/>
          <w:szCs w:val="28"/>
          <w:lang w:val="sr-Latn-RS"/>
        </w:rPr>
        <w:t xml:space="preserve">u sljedećim iznosima </w:t>
      </w:r>
      <w:r w:rsidRPr="005A4F21">
        <w:rPr>
          <w:rFonts w:ascii="Garamond" w:hAnsi="Garamond" w:cs="Calibri"/>
          <w:sz w:val="28"/>
          <w:szCs w:val="28"/>
          <w:lang w:val="sr-Latn-RS"/>
        </w:rPr>
        <w:t>za:</w:t>
      </w:r>
    </w:p>
    <w:p w14:paraId="302244DB" w14:textId="77777777" w:rsidR="0035439F" w:rsidRPr="005A4F21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5A4F21">
        <w:rPr>
          <w:rFonts w:ascii="Garamond" w:hAnsi="Garamond" w:cs="Calibri"/>
          <w:sz w:val="28"/>
          <w:szCs w:val="28"/>
          <w:lang w:val="sr-Latn-RS"/>
        </w:rPr>
        <w:t xml:space="preserve">   1. Fotokopiranje informacije</w:t>
      </w:r>
    </w:p>
    <w:p w14:paraId="2DB84A45" w14:textId="77777777" w:rsidR="0035439F" w:rsidRPr="005A4F21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5A4F21">
        <w:rPr>
          <w:rFonts w:ascii="Garamond" w:hAnsi="Garamond" w:cs="Calibri"/>
          <w:sz w:val="28"/>
          <w:szCs w:val="28"/>
          <w:lang w:val="sr-Latn-RS"/>
        </w:rPr>
        <w:t xml:space="preserve">      - format A4 crno-bijeli 0,05€, po stranici,</w:t>
      </w:r>
    </w:p>
    <w:p w14:paraId="12060233" w14:textId="77777777" w:rsidR="0035439F" w:rsidRPr="005A4F21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5A4F21">
        <w:rPr>
          <w:rFonts w:ascii="Garamond" w:hAnsi="Garamond" w:cs="Calibri"/>
          <w:sz w:val="28"/>
          <w:szCs w:val="28"/>
          <w:lang w:val="sr-Latn-RS"/>
        </w:rPr>
        <w:t xml:space="preserve">      - format A4 u boji 0,50 €, po stranici,</w:t>
      </w:r>
    </w:p>
    <w:p w14:paraId="0B8F1CCC" w14:textId="77777777" w:rsidR="0035439F" w:rsidRPr="005A4F21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5A4F21">
        <w:rPr>
          <w:rFonts w:ascii="Garamond" w:hAnsi="Garamond" w:cs="Calibri"/>
          <w:sz w:val="28"/>
          <w:szCs w:val="28"/>
          <w:lang w:val="sr-Latn-RS"/>
        </w:rPr>
        <w:t xml:space="preserve">      - format A3 crno-bijeli 0,10 €, po stranici,</w:t>
      </w:r>
    </w:p>
    <w:p w14:paraId="0C506F6A" w14:textId="77777777" w:rsidR="0035439F" w:rsidRPr="005A4F21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5A4F21">
        <w:rPr>
          <w:rFonts w:ascii="Garamond" w:hAnsi="Garamond" w:cs="Calibri"/>
          <w:sz w:val="28"/>
          <w:szCs w:val="28"/>
          <w:lang w:val="sr-Latn-RS"/>
        </w:rPr>
        <w:t xml:space="preserve">      - format A3 u boji 1€, po stranici,</w:t>
      </w:r>
    </w:p>
    <w:p w14:paraId="04CEFCEB" w14:textId="77777777" w:rsidR="0035439F" w:rsidRPr="005A4F21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 xml:space="preserve">      - </w:t>
      </w:r>
      <w:r w:rsidRPr="005A4F21">
        <w:rPr>
          <w:rFonts w:ascii="Garamond" w:hAnsi="Garamond" w:cs="Calibri"/>
          <w:sz w:val="28"/>
          <w:szCs w:val="28"/>
          <w:lang w:val="sr-Latn-RS"/>
        </w:rPr>
        <w:t>format veći od A3, po cjenovniku pravnog, odnosno fizičkog lica, registrovanog za obavljanje djelatnosti fotokopiranja,</w:t>
      </w:r>
    </w:p>
    <w:p w14:paraId="13C97AD2" w14:textId="77777777" w:rsidR="0035439F" w:rsidRPr="005A4F21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5A4F21">
        <w:rPr>
          <w:rFonts w:ascii="Garamond" w:hAnsi="Garamond" w:cs="Calibri"/>
          <w:sz w:val="28"/>
          <w:szCs w:val="28"/>
          <w:lang w:val="sr-Latn-RS"/>
        </w:rPr>
        <w:t xml:space="preserve">      - kopiranje informacije na CD-u ili DVD-u 1 €.</w:t>
      </w:r>
    </w:p>
    <w:p w14:paraId="33798DA7" w14:textId="77777777" w:rsidR="0035439F" w:rsidRPr="005A4F21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5A4F21">
        <w:rPr>
          <w:rFonts w:ascii="Garamond" w:hAnsi="Garamond" w:cs="Calibri"/>
          <w:sz w:val="28"/>
          <w:szCs w:val="28"/>
          <w:lang w:val="sr-Latn-RS"/>
        </w:rPr>
        <w:t xml:space="preserve">   2. Skeniranje informacije: 0,30 €, po stranici.</w:t>
      </w:r>
    </w:p>
    <w:p w14:paraId="593BFE75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5A4F21">
        <w:rPr>
          <w:rFonts w:ascii="Garamond" w:hAnsi="Garamond" w:cs="Calibri"/>
          <w:sz w:val="28"/>
          <w:szCs w:val="28"/>
          <w:lang w:val="sr-Latn-RS"/>
        </w:rPr>
        <w:t xml:space="preserve">   3. Dostavljanje informacije: putem pošte (preporučenom pošiljkom) ili brzom pošiljkom prema važećem cjenovniku redovnih poštanskih usluga.</w:t>
      </w:r>
    </w:p>
    <w:p w14:paraId="6D9DB095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558C3B6A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ab/>
        <w:t xml:space="preserve">Ovlašćena i odgovorna lica </w:t>
      </w:r>
    </w:p>
    <w:p w14:paraId="7FD031F0" w14:textId="77777777" w:rsidR="0035439F" w:rsidRPr="00026E3C" w:rsidRDefault="0035439F" w:rsidP="003543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 w:cs="Calibri"/>
          <w:sz w:val="28"/>
          <w:szCs w:val="28"/>
          <w:lang w:val="sr-Latn-RS"/>
        </w:rPr>
      </w:pPr>
      <w:r w:rsidRPr="00B006BE">
        <w:rPr>
          <w:rFonts w:ascii="Garamond" w:eastAsia="Calibri" w:hAnsi="Garamond" w:cs="Calibri"/>
          <w:sz w:val="28"/>
          <w:szCs w:val="28"/>
          <w:lang w:val="sr-Latn-RS"/>
        </w:rPr>
        <w:t>za postupanje po zahtjevima za pristup informacijama u posjedu Sekretarijata, postupa službenik, u okviru poslova utvrđenih Pravilnikom o unutrašnjoj organizaciji i sistematizaciji</w:t>
      </w:r>
    </w:p>
    <w:p w14:paraId="7118BB9F" w14:textId="77777777" w:rsidR="0035439F" w:rsidRPr="00026E3C" w:rsidRDefault="0035439F" w:rsidP="003543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aramond" w:hAnsi="Garamond" w:cs="Calibri"/>
          <w:sz w:val="28"/>
          <w:szCs w:val="28"/>
          <w:lang w:val="sr-Latn-RS"/>
        </w:rPr>
      </w:pPr>
      <w:r w:rsidRPr="00B006BE">
        <w:rPr>
          <w:rFonts w:ascii="Garamond" w:eastAsia="Calibri" w:hAnsi="Garamond" w:cs="Calibri"/>
          <w:sz w:val="28"/>
          <w:szCs w:val="28"/>
          <w:lang w:val="sr-Latn-RS"/>
        </w:rPr>
        <w:t>lice odgovorno za donošenje rješenja je sekretar Sekretarijata.</w:t>
      </w:r>
    </w:p>
    <w:p w14:paraId="5CE2B148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7FB7EDFF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Calibri"/>
          <w:b/>
          <w:sz w:val="28"/>
          <w:szCs w:val="28"/>
          <w:lang w:val="sr-Latn-RS"/>
        </w:rPr>
      </w:pPr>
      <w:r w:rsidRPr="000A0BDF">
        <w:rPr>
          <w:rFonts w:ascii="Garamond" w:hAnsi="Garamond" w:cs="Calibri"/>
          <w:b/>
          <w:sz w:val="28"/>
          <w:szCs w:val="28"/>
          <w:lang w:val="sr-Latn-RS"/>
        </w:rPr>
        <w:t>VIII Objavljivanje</w:t>
      </w:r>
    </w:p>
    <w:p w14:paraId="4E323D7B" w14:textId="77777777" w:rsidR="0035439F" w:rsidRPr="000A0BDF" w:rsidRDefault="0035439F" w:rsidP="00354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Calibri"/>
          <w:b/>
          <w:sz w:val="28"/>
          <w:szCs w:val="28"/>
          <w:lang w:val="sr-Latn-RS"/>
        </w:rPr>
      </w:pPr>
    </w:p>
    <w:p w14:paraId="786D7C9C" w14:textId="77777777" w:rsidR="0035439F" w:rsidRPr="00A50D56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 xml:space="preserve">Ovaj vodić će se objaviti na web sajtu Opštine </w:t>
      </w:r>
      <w:r w:rsidR="00137F15">
        <w:rPr>
          <w:rFonts w:ascii="Garamond" w:hAnsi="Garamond" w:cs="Calibri"/>
          <w:sz w:val="28"/>
          <w:szCs w:val="28"/>
          <w:lang w:val="sr-Latn-RS"/>
        </w:rPr>
        <w:t>Gusinje</w:t>
      </w:r>
      <w:r w:rsidR="00A50D56">
        <w:rPr>
          <w:rFonts w:ascii="Garamond" w:hAnsi="Garamond" w:cs="Calibri"/>
          <w:sz w:val="28"/>
          <w:szCs w:val="28"/>
          <w:lang w:val="sr-Latn-RS"/>
        </w:rPr>
        <w:t xml:space="preserve">  </w:t>
      </w:r>
      <w:r w:rsidR="00A50D56" w:rsidRPr="00A50D56">
        <w:rPr>
          <w:rFonts w:ascii="Garamond" w:hAnsi="Garamond" w:cs="Calibri"/>
          <w:b/>
          <w:sz w:val="28"/>
          <w:szCs w:val="28"/>
          <w:lang w:val="sr-Latn-RS"/>
        </w:rPr>
        <w:t>www.opstinagusinje.me</w:t>
      </w:r>
    </w:p>
    <w:p w14:paraId="1B526037" w14:textId="77777777" w:rsidR="0035439F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4241D50E" w14:textId="77777777" w:rsidR="0035439F" w:rsidRPr="00026E3C" w:rsidRDefault="00137F15" w:rsidP="00137F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ab/>
      </w:r>
      <w:r>
        <w:rPr>
          <w:rFonts w:ascii="Garamond" w:hAnsi="Garamond" w:cs="Calibri"/>
          <w:sz w:val="28"/>
          <w:szCs w:val="28"/>
          <w:lang w:val="sr-Latn-RS"/>
        </w:rPr>
        <w:tab/>
      </w:r>
      <w:r>
        <w:rPr>
          <w:rFonts w:ascii="Garamond" w:hAnsi="Garamond" w:cs="Calibri"/>
          <w:sz w:val="28"/>
          <w:szCs w:val="28"/>
          <w:lang w:val="sr-Latn-RS"/>
        </w:rPr>
        <w:tab/>
      </w:r>
      <w:r>
        <w:rPr>
          <w:rFonts w:ascii="Garamond" w:hAnsi="Garamond" w:cs="Calibri"/>
          <w:sz w:val="28"/>
          <w:szCs w:val="28"/>
          <w:lang w:val="sr-Latn-RS"/>
        </w:rPr>
        <w:tab/>
      </w:r>
      <w:r>
        <w:rPr>
          <w:rFonts w:ascii="Garamond" w:hAnsi="Garamond" w:cs="Calibri"/>
          <w:sz w:val="28"/>
          <w:szCs w:val="28"/>
          <w:lang w:val="sr-Latn-RS"/>
        </w:rPr>
        <w:tab/>
      </w:r>
      <w:r>
        <w:rPr>
          <w:rFonts w:ascii="Garamond" w:hAnsi="Garamond" w:cs="Calibri"/>
          <w:sz w:val="28"/>
          <w:szCs w:val="28"/>
          <w:lang w:val="sr-Latn-RS"/>
        </w:rPr>
        <w:tab/>
      </w:r>
      <w:r>
        <w:rPr>
          <w:rFonts w:ascii="Garamond" w:hAnsi="Garamond" w:cs="Calibri"/>
          <w:sz w:val="28"/>
          <w:szCs w:val="28"/>
          <w:lang w:val="sr-Latn-RS"/>
        </w:rPr>
        <w:tab/>
      </w:r>
      <w:r>
        <w:rPr>
          <w:rFonts w:ascii="Garamond" w:hAnsi="Garamond" w:cs="Calibri"/>
          <w:sz w:val="28"/>
          <w:szCs w:val="28"/>
          <w:lang w:val="sr-Latn-RS"/>
        </w:rPr>
        <w:tab/>
      </w:r>
    </w:p>
    <w:p w14:paraId="729740F7" w14:textId="77777777" w:rsidR="0035439F" w:rsidRPr="005A4F21" w:rsidRDefault="0035439F" w:rsidP="003543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2FA43D7E" w14:textId="77777777" w:rsidR="0035439F" w:rsidRPr="006354D3" w:rsidRDefault="0035439F" w:rsidP="00354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</w:p>
    <w:p w14:paraId="4AD7C4B1" w14:textId="77777777" w:rsidR="00EB3D66" w:rsidRPr="00EB3D66" w:rsidRDefault="0088443E" w:rsidP="00137F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B3D66" w:rsidRPr="00EB3D66">
        <w:rPr>
          <w:rFonts w:ascii="Times New Roman" w:hAnsi="Times New Roman" w:cs="Times New Roman"/>
          <w:b/>
          <w:sz w:val="24"/>
          <w:szCs w:val="24"/>
        </w:rPr>
        <w:t>ekretarka za opštu upravu i društvene djelatnosti</w:t>
      </w:r>
    </w:p>
    <w:p w14:paraId="52A1A3CD" w14:textId="77777777" w:rsidR="00340DFC" w:rsidRPr="00EB3D66" w:rsidRDefault="00EB3D66" w:rsidP="00340DFC">
      <w:pPr>
        <w:rPr>
          <w:rFonts w:ascii="Times New Roman" w:hAnsi="Times New Roman" w:cs="Times New Roman"/>
          <w:b/>
          <w:sz w:val="24"/>
          <w:szCs w:val="24"/>
        </w:rPr>
      </w:pPr>
      <w:r w:rsidRPr="00EB3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Samra Balić</w:t>
      </w:r>
    </w:p>
    <w:sectPr w:rsidR="00340DFC" w:rsidRPr="00EB3D66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B3B6" w14:textId="77777777" w:rsidR="005F0DA2" w:rsidRDefault="005F0DA2" w:rsidP="00361A0E">
      <w:pPr>
        <w:spacing w:after="0" w:line="240" w:lineRule="auto"/>
      </w:pPr>
      <w:r>
        <w:separator/>
      </w:r>
    </w:p>
  </w:endnote>
  <w:endnote w:type="continuationSeparator" w:id="0">
    <w:p w14:paraId="5CC00B75" w14:textId="77777777" w:rsidR="005F0DA2" w:rsidRDefault="005F0DA2" w:rsidP="0036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8E44A" w14:textId="77777777" w:rsidR="00361A0E" w:rsidRDefault="00361A0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CD00A" wp14:editId="154600B4">
              <wp:simplePos x="0" y="0"/>
              <wp:positionH relativeFrom="page">
                <wp:posOffset>-38100</wp:posOffset>
              </wp:positionH>
              <wp:positionV relativeFrom="bottomMargin">
                <wp:posOffset>323850</wp:posOffset>
              </wp:positionV>
              <wp:extent cx="78105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0500" cy="274320"/>
                        <a:chOff x="-1638300" y="0"/>
                        <a:chExt cx="78105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638300" y="9525"/>
                          <a:ext cx="75819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CA01F" w14:textId="05A996AF" w:rsidR="00361A0E" w:rsidRPr="00361A0E" w:rsidRDefault="00E5796A" w:rsidP="00361A0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Vodič za slobodan pristup informacijama</w:t>
                                </w:r>
                              </w:sdtContent>
                            </w:sdt>
                            <w:r w:rsidR="00361A0E" w:rsidRPr="00361A0E"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Sekretarijat za opštu upravu I društvene djelatnosti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7CD00A" id="Group 164" o:spid="_x0000_s1027" style="position:absolute;margin-left:-3pt;margin-top:25.5pt;width:615pt;height:21.6pt;z-index:251659264;mso-position-horizontal-relative:page;mso-position-vertical-relative:bottom-margin-area;mso-width-relative:margin" coordorigin="-16383" coordsize="78105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left:-16383;top:95;width:75819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89CA01F" w14:textId="05A996AF" w:rsidR="00361A0E" w:rsidRPr="00361A0E" w:rsidRDefault="00E5796A" w:rsidP="00361A0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Vodič za slobodan pristup informacijama</w:t>
                          </w:r>
                        </w:sdtContent>
                      </w:sdt>
                      <w:r w:rsidR="00361A0E" w:rsidRPr="00361A0E"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Sekretarijat za opštu upravu I društvene djelatnosti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7D3C" w14:textId="77777777" w:rsidR="005F0DA2" w:rsidRDefault="005F0DA2" w:rsidP="00361A0E">
      <w:pPr>
        <w:spacing w:after="0" w:line="240" w:lineRule="auto"/>
      </w:pPr>
      <w:r>
        <w:separator/>
      </w:r>
    </w:p>
  </w:footnote>
  <w:footnote w:type="continuationSeparator" w:id="0">
    <w:p w14:paraId="694C3492" w14:textId="77777777" w:rsidR="005F0DA2" w:rsidRDefault="005F0DA2" w:rsidP="00361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405A"/>
    <w:multiLevelType w:val="hybridMultilevel"/>
    <w:tmpl w:val="E7240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62A6"/>
    <w:multiLevelType w:val="hybridMultilevel"/>
    <w:tmpl w:val="0500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96E"/>
    <w:multiLevelType w:val="hybridMultilevel"/>
    <w:tmpl w:val="8F567F14"/>
    <w:lvl w:ilvl="0" w:tplc="5E6A9FD8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FC4375"/>
    <w:multiLevelType w:val="hybridMultilevel"/>
    <w:tmpl w:val="B5DC3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874B2"/>
    <w:multiLevelType w:val="hybridMultilevel"/>
    <w:tmpl w:val="65F61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B0"/>
    <w:rsid w:val="00015379"/>
    <w:rsid w:val="00040EF0"/>
    <w:rsid w:val="00044F32"/>
    <w:rsid w:val="00137F15"/>
    <w:rsid w:val="0014209E"/>
    <w:rsid w:val="00190B6A"/>
    <w:rsid w:val="001E03B0"/>
    <w:rsid w:val="00281B48"/>
    <w:rsid w:val="002901E9"/>
    <w:rsid w:val="002944BE"/>
    <w:rsid w:val="00311209"/>
    <w:rsid w:val="00340DFC"/>
    <w:rsid w:val="0035439F"/>
    <w:rsid w:val="00361A0E"/>
    <w:rsid w:val="004D36E0"/>
    <w:rsid w:val="00505CBB"/>
    <w:rsid w:val="005A354F"/>
    <w:rsid w:val="005F0DA2"/>
    <w:rsid w:val="00690D37"/>
    <w:rsid w:val="006A49A4"/>
    <w:rsid w:val="006D66B2"/>
    <w:rsid w:val="007D4846"/>
    <w:rsid w:val="0088443E"/>
    <w:rsid w:val="00890064"/>
    <w:rsid w:val="00A50D56"/>
    <w:rsid w:val="00AC5883"/>
    <w:rsid w:val="00BC1FD7"/>
    <w:rsid w:val="00BD3882"/>
    <w:rsid w:val="00BF724A"/>
    <w:rsid w:val="00C57AC4"/>
    <w:rsid w:val="00C74838"/>
    <w:rsid w:val="00D432F6"/>
    <w:rsid w:val="00E5796A"/>
    <w:rsid w:val="00EB3D66"/>
    <w:rsid w:val="00EC3434"/>
    <w:rsid w:val="00E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134A0"/>
  <w15:chartTrackingRefBased/>
  <w15:docId w15:val="{B0CAD9B6-384A-4BD2-8DD9-BAC7784F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3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3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0E"/>
  </w:style>
  <w:style w:type="paragraph" w:styleId="Footer">
    <w:name w:val="footer"/>
    <w:basedOn w:val="Normal"/>
    <w:link w:val="FooterChar"/>
    <w:uiPriority w:val="99"/>
    <w:unhideWhenUsed/>
    <w:rsid w:val="00361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stinagusinje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E5B3-F36E-48E3-9C2A-00F119C9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Vodič za slobodan pristup informacijama</dc:title>
  <dc:subject>Sekretarijat za opštu upravu I društvene djelatnosti</dc:subject>
  <dc:creator>Prelvukaj</dc:creator>
  <cp:keywords/>
  <dc:description/>
  <cp:lastModifiedBy>Opstina Gusinje</cp:lastModifiedBy>
  <cp:revision>5</cp:revision>
  <cp:lastPrinted>2021-02-18T11:28:00Z</cp:lastPrinted>
  <dcterms:created xsi:type="dcterms:W3CDTF">2021-03-04T07:05:00Z</dcterms:created>
  <dcterms:modified xsi:type="dcterms:W3CDTF">2021-03-05T12:46:00Z</dcterms:modified>
</cp:coreProperties>
</file>